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43472AF6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CD5B0A">
        <w:rPr>
          <w:rFonts w:cs="Arial"/>
          <w:b/>
          <w:color w:val="000000"/>
          <w:sz w:val="28"/>
          <w:szCs w:val="28"/>
        </w:rPr>
        <w:t>5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32638E" w:rsidRPr="0032638E">
        <w:rPr>
          <w:rFonts w:cs="Arial"/>
          <w:b/>
          <w:color w:val="000000"/>
          <w:sz w:val="28"/>
          <w:szCs w:val="28"/>
        </w:rPr>
        <w:t>R1-2312615</w:t>
      </w:r>
    </w:p>
    <w:p w14:paraId="6C444D2B" w14:textId="574F998F" w:rsidR="00E81C66" w:rsidRPr="00C47186" w:rsidRDefault="00CD5B0A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Chicago, USA, November 13</w:t>
      </w:r>
      <w:r w:rsidRPr="00CD5B0A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– November 17</w:t>
      </w:r>
      <w:r w:rsidRPr="00CD5B0A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3C9DA65E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2309F0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5A35BC">
        <w:rPr>
          <w:b/>
          <w:color w:val="000000"/>
          <w:sz w:val="24"/>
          <w:szCs w:val="24"/>
        </w:rPr>
        <w:t>1</w:t>
      </w:r>
      <w:r w:rsidR="00CD5B0A">
        <w:rPr>
          <w:b/>
          <w:color w:val="000000"/>
          <w:sz w:val="24"/>
          <w:szCs w:val="24"/>
        </w:rPr>
        <w:t>5</w:t>
      </w:r>
    </w:p>
    <w:p w14:paraId="03AD16E9" w14:textId="4AB66E78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2309F0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5A35BC">
        <w:rPr>
          <w:b/>
          <w:color w:val="000000"/>
          <w:sz w:val="24"/>
          <w:szCs w:val="24"/>
        </w:rPr>
        <w:t>1</w:t>
      </w:r>
      <w:r w:rsidR="00CD5B0A">
        <w:rPr>
          <w:b/>
          <w:color w:val="000000"/>
          <w:sz w:val="24"/>
          <w:szCs w:val="24"/>
        </w:rPr>
        <w:t>5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7130AC36" w:rsidR="005D7CCC" w:rsidRDefault="002309F0" w:rsidP="005A35BC">
      <w:pPr>
        <w:pStyle w:val="Heading3"/>
        <w:numPr>
          <w:ilvl w:val="0"/>
          <w:numId w:val="0"/>
        </w:numPr>
        <w:ind w:left="720" w:hanging="720"/>
      </w:pPr>
      <w:bookmarkStart w:id="5" w:name="_Toc142292382"/>
      <w:bookmarkEnd w:id="1"/>
      <w:r>
        <w:t>8</w:t>
      </w:r>
      <w:r w:rsidR="005A35BC" w:rsidRPr="005A35BC">
        <w:t>.16.1</w:t>
      </w:r>
      <w:r w:rsidR="00553780">
        <w:t>5</w:t>
      </w:r>
      <w:r w:rsidR="005A35BC">
        <w:t xml:space="preserve"> </w:t>
      </w:r>
      <w:r w:rsidR="005A35BC" w:rsidRPr="005A35BC">
        <w:rPr>
          <w:lang w:val="en-GB"/>
        </w:rPr>
        <w:t xml:space="preserve">UE features </w:t>
      </w:r>
      <w:bookmarkEnd w:id="5"/>
      <w:r w:rsidR="00553780" w:rsidRPr="00553780">
        <w:rPr>
          <w:lang w:val="en-GB"/>
        </w:rPr>
        <w:t>for BWP without restriction</w:t>
      </w:r>
    </w:p>
    <w:p w14:paraId="7A2A7D5C" w14:textId="1F5BD270" w:rsidR="00140965" w:rsidRDefault="00140965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582D6A66" w14:textId="5CA9F824" w:rsidR="00603BC9" w:rsidRDefault="001001CF" w:rsidP="00603BC9">
      <w:pPr>
        <w:rPr>
          <w:rFonts w:ascii="Calibri" w:hAnsi="Calibri" w:cs="Arial"/>
          <w:b/>
        </w:rPr>
      </w:pPr>
      <w:r w:rsidRPr="001001CF">
        <w:rPr>
          <w:rFonts w:ascii="Calibri" w:hAnsi="Calibri" w:cs="Arial"/>
          <w:b/>
          <w:highlight w:val="green"/>
        </w:rPr>
        <w:t>Agreement</w:t>
      </w:r>
      <w:r w:rsidR="00603BC9" w:rsidRPr="001001CF">
        <w:rPr>
          <w:rFonts w:ascii="Calibri" w:hAnsi="Calibri" w:cs="Arial"/>
          <w:b/>
          <w:highlight w:val="green"/>
        </w:rPr>
        <w:t>:</w:t>
      </w:r>
      <w:r w:rsidR="00603BC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496"/>
        <w:gridCol w:w="3106"/>
        <w:gridCol w:w="5051"/>
        <w:gridCol w:w="222"/>
        <w:gridCol w:w="527"/>
        <w:gridCol w:w="467"/>
        <w:gridCol w:w="3265"/>
        <w:gridCol w:w="549"/>
        <w:gridCol w:w="447"/>
        <w:gridCol w:w="447"/>
        <w:gridCol w:w="467"/>
        <w:gridCol w:w="4587"/>
        <w:gridCol w:w="1318"/>
      </w:tblGrid>
      <w:tr w:rsidR="009B3CF7" w:rsidRPr="00DC77E6" w14:paraId="10318574" w14:textId="77777777" w:rsidTr="00AC1CDF">
        <w:tc>
          <w:tcPr>
            <w:tcW w:w="0" w:type="auto"/>
            <w:shd w:val="clear" w:color="auto" w:fill="auto"/>
          </w:tcPr>
          <w:p w14:paraId="4336AFC9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4028125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53-1</w:t>
            </w:r>
          </w:p>
        </w:tc>
        <w:tc>
          <w:tcPr>
            <w:tcW w:w="0" w:type="auto"/>
            <w:shd w:val="clear" w:color="auto" w:fill="auto"/>
          </w:tcPr>
          <w:p w14:paraId="0F213B17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RLM/BM/BFD </w:t>
            </w: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and gapless </w:t>
            </w:r>
            <w:r w:rsidRPr="00DC77E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L3 intra-frequency </w:t>
            </w: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measurements based on CD-SSB outside active BWP without interruptions</w:t>
            </w:r>
          </w:p>
        </w:tc>
        <w:tc>
          <w:tcPr>
            <w:tcW w:w="0" w:type="auto"/>
            <w:shd w:val="clear" w:color="auto" w:fill="auto"/>
          </w:tcPr>
          <w:p w14:paraId="08E4A23F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C77E6">
              <w:rPr>
                <w:rFonts w:cs="Arial"/>
                <w:color w:val="000000" w:themeColor="text1"/>
                <w:szCs w:val="18"/>
              </w:rPr>
              <w:t>1. UE performs RLM/BM/BFD measurements based on CD-SSB without interruptions, where the CD-SSB is outside active DL BWP but is within the bandwidth of the corresponding carrier(s) to be measured.</w:t>
            </w:r>
          </w:p>
          <w:p w14:paraId="463109E7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C77E6">
              <w:rPr>
                <w:rFonts w:cs="Arial"/>
                <w:color w:val="000000" w:themeColor="text1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DC77E6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DC77E6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</w:p>
          <w:p w14:paraId="6255B38A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C77E6">
              <w:rPr>
                <w:rFonts w:cs="Arial"/>
                <w:color w:val="000000" w:themeColor="text1"/>
                <w:szCs w:val="18"/>
              </w:rPr>
              <w:t>3. CD-SSB outside active DL BWP but within the bandwidth of the corresponding carrier(s) to be measured can be used as the QCL source for other reference signal.</w:t>
            </w:r>
          </w:p>
          <w:p w14:paraId="0CD5A00F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 UE performs L3 intra-frequency measurements without gaps based on CD-SSB, where the CD-SSB is outside the active DL BWP but is within the bandwidth of the corresponding carrier(s) to be measured.</w:t>
            </w:r>
          </w:p>
        </w:tc>
        <w:tc>
          <w:tcPr>
            <w:tcW w:w="0" w:type="auto"/>
            <w:shd w:val="clear" w:color="auto" w:fill="auto"/>
          </w:tcPr>
          <w:p w14:paraId="7A6A1AA4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38CF273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13DFCC4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216E6FD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RLM/BM/BFD </w:t>
            </w: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and gapless </w:t>
            </w:r>
            <w:r w:rsidRPr="00DC77E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L3 intra-frequency </w:t>
            </w: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measurements based on CD-SSB outside active BWP without interruptions</w:t>
            </w:r>
          </w:p>
        </w:tc>
        <w:tc>
          <w:tcPr>
            <w:tcW w:w="0" w:type="auto"/>
            <w:shd w:val="clear" w:color="auto" w:fill="auto"/>
          </w:tcPr>
          <w:p w14:paraId="63A82E15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Per FS</w:t>
            </w:r>
          </w:p>
        </w:tc>
        <w:tc>
          <w:tcPr>
            <w:tcW w:w="0" w:type="auto"/>
            <w:shd w:val="clear" w:color="auto" w:fill="auto"/>
          </w:tcPr>
          <w:p w14:paraId="45FCC1FB" w14:textId="77777777" w:rsidR="009B3CF7" w:rsidRPr="00DC77E6" w:rsidRDefault="009B3CF7" w:rsidP="00AC1CD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C77E6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0CAA98AC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7AFB3D6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A92D8CD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E943C49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C77E6">
              <w:rPr>
                <w:rFonts w:cs="Arial"/>
                <w:color w:val="000000" w:themeColor="text1"/>
                <w:szCs w:val="18"/>
              </w:rPr>
              <w:t>Note: The CD-SSB is still within the bandwidth of the carrier configured by SCS-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DC77E6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DC77E6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DC77E6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47D9BA79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6D39AD6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C77E6">
              <w:rPr>
                <w:rFonts w:cs="Arial"/>
                <w:color w:val="000000" w:themeColor="text1"/>
                <w:szCs w:val="18"/>
              </w:rPr>
              <w:t>Note: If a UE is configured with more than one UE-specific DL BWP configurations, the CD-SSB is within the bandwidth of at least one of the UE-specific DL BWP configurations.</w:t>
            </w:r>
          </w:p>
          <w:p w14:paraId="7EE7C646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CAE7706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DC77E6">
              <w:rPr>
                <w:rFonts w:cs="Arial"/>
                <w:color w:val="000000" w:themeColor="text1"/>
                <w:szCs w:val="18"/>
                <w:lang w:val="en-US"/>
              </w:rPr>
              <w:t>Note: UE shall not indicate support of both B-1-1 and B-1-2 for the same band in the same reported band combination</w:t>
            </w:r>
          </w:p>
          <w:p w14:paraId="6C18E3F0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1ED6853" w14:textId="77777777" w:rsidR="009B3CF7" w:rsidRDefault="009B3CF7" w:rsidP="00AC1CDF">
            <w:pPr>
              <w:pStyle w:val="TAL"/>
              <w:rPr>
                <w:rFonts w:cs="Arial"/>
                <w:color w:val="FF0000"/>
                <w:szCs w:val="18"/>
              </w:rPr>
            </w:pPr>
            <w:r w:rsidRPr="00DC77E6">
              <w:rPr>
                <w:rFonts w:cs="Arial"/>
                <w:color w:val="FF0000"/>
                <w:szCs w:val="18"/>
              </w:rPr>
              <w:t xml:space="preserve">Note: If a UE additionally indicates support of </w:t>
            </w:r>
            <w:proofErr w:type="spellStart"/>
            <w:r w:rsidRPr="00DC77E6">
              <w:rPr>
                <w:rFonts w:cs="Arial"/>
                <w:i/>
                <w:iCs/>
                <w:color w:val="FF0000"/>
                <w:szCs w:val="18"/>
              </w:rPr>
              <w:t>NeedForGap</w:t>
            </w:r>
            <w:proofErr w:type="spellEnd"/>
            <w:r w:rsidRPr="00DC77E6">
              <w:rPr>
                <w:rFonts w:cs="Arial"/>
                <w:color w:val="FF0000"/>
                <w:szCs w:val="18"/>
              </w:rPr>
              <w:t xml:space="preserve"> or </w:t>
            </w:r>
            <w:proofErr w:type="spellStart"/>
            <w:r w:rsidRPr="00DC77E6">
              <w:rPr>
                <w:rFonts w:cs="Arial"/>
                <w:i/>
                <w:iCs/>
                <w:color w:val="FF0000"/>
                <w:szCs w:val="18"/>
              </w:rPr>
              <w:t>NeedForGapNCSG</w:t>
            </w:r>
            <w:proofErr w:type="spellEnd"/>
            <w:r w:rsidRPr="00DC77E6">
              <w:rPr>
                <w:rFonts w:cs="Arial"/>
                <w:color w:val="FF0000"/>
                <w:szCs w:val="18"/>
              </w:rPr>
              <w:t xml:space="preserve"> </w:t>
            </w:r>
            <w:r>
              <w:rPr>
                <w:rFonts w:cs="Arial"/>
                <w:color w:val="FF0000"/>
                <w:szCs w:val="18"/>
              </w:rPr>
              <w:t>and/</w:t>
            </w:r>
            <w:r w:rsidRPr="00DC77E6">
              <w:rPr>
                <w:rFonts w:cs="Arial"/>
                <w:color w:val="FF0000"/>
                <w:szCs w:val="18"/>
              </w:rPr>
              <w:t xml:space="preserve">or </w:t>
            </w:r>
            <w:proofErr w:type="spellStart"/>
            <w:r w:rsidRPr="00DC77E6">
              <w:rPr>
                <w:rFonts w:cs="Arial"/>
                <w:i/>
                <w:iCs/>
                <w:color w:val="FF0000"/>
                <w:szCs w:val="18"/>
              </w:rPr>
              <w:t>NeedForInterruption</w:t>
            </w:r>
            <w:proofErr w:type="spellEnd"/>
            <w:r w:rsidRPr="00DC77E6">
              <w:rPr>
                <w:rFonts w:cs="Arial"/>
                <w:color w:val="FF0000"/>
                <w:szCs w:val="18"/>
              </w:rPr>
              <w:t>, the UE shall report no gap and no interruption/no NCSG for intra-frequency measurement.</w:t>
            </w:r>
          </w:p>
          <w:p w14:paraId="5BC7EE79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0148C3F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This FG is not applicable to </w:t>
            </w:r>
            <w:proofErr w:type="spellStart"/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RedCap</w:t>
            </w:r>
            <w:proofErr w:type="spellEnd"/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C77E6">
              <w:rPr>
                <w:rFonts w:ascii="Arial" w:hAnsi="Arial" w:cs="Arial"/>
                <w:color w:val="FF0000"/>
                <w:sz w:val="18"/>
                <w:szCs w:val="18"/>
              </w:rPr>
              <w:t xml:space="preserve">or </w:t>
            </w:r>
            <w:proofErr w:type="spellStart"/>
            <w:r w:rsidRPr="00DC77E6">
              <w:rPr>
                <w:rFonts w:ascii="Arial" w:hAnsi="Arial" w:cs="Arial"/>
                <w:color w:val="FF0000"/>
                <w:sz w:val="18"/>
                <w:szCs w:val="18"/>
              </w:rPr>
              <w:t>eRedCap</w:t>
            </w:r>
            <w:proofErr w:type="spellEnd"/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4F552321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1F21ED9C" w14:textId="77777777" w:rsidR="009B3CF7" w:rsidRDefault="009B3CF7" w:rsidP="00B9024D">
      <w:pPr>
        <w:rPr>
          <w:lang w:eastAsia="x-none"/>
        </w:rPr>
      </w:pPr>
    </w:p>
    <w:p w14:paraId="3760D01D" w14:textId="40C1FE1F" w:rsidR="009B3CF7" w:rsidRDefault="001001CF" w:rsidP="009B3CF7">
      <w:pPr>
        <w:rPr>
          <w:rFonts w:ascii="Calibri" w:hAnsi="Calibri" w:cs="Arial"/>
          <w:b/>
        </w:rPr>
      </w:pPr>
      <w:r w:rsidRPr="001001CF">
        <w:rPr>
          <w:rFonts w:ascii="Calibri" w:hAnsi="Calibri" w:cs="Arial"/>
          <w:b/>
          <w:highlight w:val="green"/>
        </w:rPr>
        <w:t>Agreement</w:t>
      </w:r>
      <w:r w:rsidR="009B3CF7" w:rsidRPr="001001CF">
        <w:rPr>
          <w:rFonts w:ascii="Calibri" w:hAnsi="Calibri" w:cs="Arial"/>
          <w:b/>
          <w:highlight w:val="green"/>
        </w:rPr>
        <w:t>:</w:t>
      </w:r>
      <w:r w:rsidR="009B3CF7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497"/>
        <w:gridCol w:w="2692"/>
        <w:gridCol w:w="5359"/>
        <w:gridCol w:w="497"/>
        <w:gridCol w:w="527"/>
        <w:gridCol w:w="467"/>
        <w:gridCol w:w="3173"/>
        <w:gridCol w:w="553"/>
        <w:gridCol w:w="447"/>
        <w:gridCol w:w="447"/>
        <w:gridCol w:w="467"/>
        <w:gridCol w:w="4470"/>
        <w:gridCol w:w="1348"/>
      </w:tblGrid>
      <w:tr w:rsidR="009B3CF7" w:rsidRPr="00DC77E6" w14:paraId="073E9B74" w14:textId="77777777" w:rsidTr="00AC1CDF">
        <w:tc>
          <w:tcPr>
            <w:tcW w:w="0" w:type="auto"/>
            <w:shd w:val="clear" w:color="auto" w:fill="auto"/>
          </w:tcPr>
          <w:p w14:paraId="41CB47AD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E89839A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53-2</w:t>
            </w:r>
          </w:p>
        </w:tc>
        <w:tc>
          <w:tcPr>
            <w:tcW w:w="0" w:type="auto"/>
            <w:shd w:val="clear" w:color="auto" w:fill="auto"/>
          </w:tcPr>
          <w:p w14:paraId="6C8A76EC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0" w:type="auto"/>
            <w:shd w:val="clear" w:color="auto" w:fill="auto"/>
          </w:tcPr>
          <w:p w14:paraId="17011C9F" w14:textId="77777777" w:rsidR="009B3CF7" w:rsidRPr="00DC77E6" w:rsidRDefault="009B3CF7" w:rsidP="00AC1CD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>1. UE is allowed to perform RLM/BM/BFD measurements based on CD-SSB outside the active BWP with interruptions, where the CD-SSB is outside active DL BWP but is within the bandwidth of the corresponding carrier(s) to be measured</w:t>
            </w:r>
          </w:p>
          <w:p w14:paraId="20B3ADFF" w14:textId="77777777" w:rsidR="009B3CF7" w:rsidRPr="00DC77E6" w:rsidRDefault="009B3CF7" w:rsidP="00AC1CDF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  <w:p w14:paraId="2826C5E3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en-US"/>
              </w:rPr>
              <w:t>3. CD-SSB outside active DL BWP but within the bandwidth of the corresponding carrier(s) to be measured can be used as the QCL source for other reference signal.</w:t>
            </w:r>
          </w:p>
        </w:tc>
        <w:tc>
          <w:tcPr>
            <w:tcW w:w="0" w:type="auto"/>
            <w:shd w:val="clear" w:color="auto" w:fill="auto"/>
          </w:tcPr>
          <w:p w14:paraId="72825C6B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DC77E6">
              <w:rPr>
                <w:rFonts w:cs="Arial"/>
                <w:color w:val="000000" w:themeColor="text1"/>
                <w:szCs w:val="18"/>
                <w:lang w:eastAsia="zh-CN"/>
              </w:rPr>
              <w:t>53-3</w:t>
            </w:r>
          </w:p>
          <w:p w14:paraId="0E20759A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E4C4AAC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FD96507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2058E63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CD-SSB outside active BWP and meet interruptions requirements</w:t>
            </w:r>
          </w:p>
        </w:tc>
        <w:tc>
          <w:tcPr>
            <w:tcW w:w="0" w:type="auto"/>
            <w:shd w:val="clear" w:color="auto" w:fill="auto"/>
          </w:tcPr>
          <w:p w14:paraId="5A346BCB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Per FS</w:t>
            </w:r>
          </w:p>
        </w:tc>
        <w:tc>
          <w:tcPr>
            <w:tcW w:w="0" w:type="auto"/>
            <w:shd w:val="clear" w:color="auto" w:fill="auto"/>
          </w:tcPr>
          <w:p w14:paraId="28181FF1" w14:textId="77777777" w:rsidR="009B3CF7" w:rsidRPr="00DC77E6" w:rsidRDefault="009B3CF7" w:rsidP="00AC1CD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C77E6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408E282F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8A85F6E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E61B5F5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58E5E47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C77E6">
              <w:rPr>
                <w:rFonts w:cs="Arial"/>
                <w:color w:val="000000" w:themeColor="text1"/>
                <w:szCs w:val="18"/>
              </w:rPr>
              <w:t>Note: This feature only applies if there is no CSI-RS, no NCD- SSB, and no CD-SSB configured for RLM/BM/BFD in the active BWP of the corresponding carrier(s) to be measured.</w:t>
            </w:r>
          </w:p>
          <w:p w14:paraId="21C3C7AD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ECFF151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C77E6">
              <w:rPr>
                <w:rFonts w:cs="Arial"/>
                <w:color w:val="000000" w:themeColor="text1"/>
                <w:szCs w:val="18"/>
              </w:rPr>
              <w:t>Note: The CD-SSB is still within the bandwidth of the carrier configured by SCS-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DC77E6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DC77E6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DC77E6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DC77E6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3A69967B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FBEAF4B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C77E6">
              <w:rPr>
                <w:rFonts w:cs="Arial"/>
                <w:color w:val="000000" w:themeColor="text1"/>
                <w:szCs w:val="18"/>
              </w:rPr>
              <w:t>Note: If a UE is configured with more than one UE-specific DL BWP configurations, the CD-SSB is within the bandwidth of at least one of the UE-specific DL BWP configurations.</w:t>
            </w:r>
          </w:p>
          <w:p w14:paraId="5157BC71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DE51FFB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C77E6">
              <w:rPr>
                <w:rFonts w:cs="Arial"/>
                <w:color w:val="000000" w:themeColor="text1"/>
                <w:szCs w:val="18"/>
              </w:rPr>
              <w:t>Note: UE shall not indicate support of both B-1-1 and B-1-2 for the same band in the same reported band combination</w:t>
            </w:r>
          </w:p>
          <w:p w14:paraId="4A08AD5C" w14:textId="77777777" w:rsidR="009B3CF7" w:rsidRPr="00DC77E6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9EF7FB5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This FG is not applicable to </w:t>
            </w:r>
            <w:proofErr w:type="spellStart"/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RedCap</w:t>
            </w:r>
            <w:proofErr w:type="spellEnd"/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C77E6">
              <w:rPr>
                <w:rFonts w:ascii="Arial" w:hAnsi="Arial" w:cs="Arial"/>
                <w:color w:val="FF0000"/>
                <w:sz w:val="18"/>
                <w:szCs w:val="18"/>
              </w:rPr>
              <w:t xml:space="preserve">or </w:t>
            </w:r>
            <w:proofErr w:type="spellStart"/>
            <w:r w:rsidRPr="00DC77E6">
              <w:rPr>
                <w:rFonts w:ascii="Arial" w:hAnsi="Arial" w:cs="Arial"/>
                <w:color w:val="FF0000"/>
                <w:sz w:val="18"/>
                <w:szCs w:val="18"/>
              </w:rPr>
              <w:t>eRedCap</w:t>
            </w:r>
            <w:proofErr w:type="spellEnd"/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04032211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22B93CDE" w14:textId="77777777" w:rsidR="009B3CF7" w:rsidRDefault="009B3CF7" w:rsidP="00B9024D">
      <w:pPr>
        <w:rPr>
          <w:lang w:eastAsia="x-none"/>
        </w:rPr>
      </w:pPr>
    </w:p>
    <w:p w14:paraId="5FA2D7A9" w14:textId="5E6278BB" w:rsidR="009B3CF7" w:rsidRDefault="001001CF" w:rsidP="009B3CF7">
      <w:pPr>
        <w:rPr>
          <w:rFonts w:ascii="Calibri" w:hAnsi="Calibri" w:cs="Arial"/>
          <w:b/>
        </w:rPr>
      </w:pPr>
      <w:r w:rsidRPr="001001CF">
        <w:rPr>
          <w:rFonts w:ascii="Calibri" w:hAnsi="Calibri" w:cs="Arial"/>
          <w:b/>
          <w:highlight w:val="green"/>
        </w:rPr>
        <w:lastRenderedPageBreak/>
        <w:t>Agreement</w:t>
      </w:r>
      <w:r w:rsidR="009B3CF7" w:rsidRPr="001001CF">
        <w:rPr>
          <w:rFonts w:ascii="Calibri" w:hAnsi="Calibri" w:cs="Arial"/>
          <w:b/>
          <w:highlight w:val="green"/>
        </w:rPr>
        <w:t>:</w:t>
      </w:r>
      <w:r w:rsidR="009B3CF7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2"/>
        <w:gridCol w:w="505"/>
        <w:gridCol w:w="2823"/>
        <w:gridCol w:w="6979"/>
        <w:gridCol w:w="222"/>
        <w:gridCol w:w="527"/>
        <w:gridCol w:w="467"/>
        <w:gridCol w:w="3785"/>
        <w:gridCol w:w="711"/>
        <w:gridCol w:w="447"/>
        <w:gridCol w:w="447"/>
        <w:gridCol w:w="467"/>
        <w:gridCol w:w="2034"/>
        <w:gridCol w:w="1505"/>
      </w:tblGrid>
      <w:tr w:rsidR="009B3CF7" w:rsidRPr="00DC77E6" w14:paraId="745565E8" w14:textId="77777777" w:rsidTr="00AC1CDF">
        <w:tc>
          <w:tcPr>
            <w:tcW w:w="0" w:type="auto"/>
            <w:shd w:val="clear" w:color="auto" w:fill="auto"/>
          </w:tcPr>
          <w:p w14:paraId="0F5FDE5B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BE2012D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53-3</w:t>
            </w:r>
          </w:p>
        </w:tc>
        <w:tc>
          <w:tcPr>
            <w:tcW w:w="0" w:type="auto"/>
            <w:shd w:val="clear" w:color="auto" w:fill="auto"/>
          </w:tcPr>
          <w:p w14:paraId="58541D6C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NCD-SSB within active BWP</w:t>
            </w:r>
          </w:p>
        </w:tc>
        <w:tc>
          <w:tcPr>
            <w:tcW w:w="0" w:type="auto"/>
            <w:shd w:val="clear" w:color="auto" w:fill="auto"/>
          </w:tcPr>
          <w:p w14:paraId="2DF99EAA" w14:textId="77777777" w:rsidR="009B3CF7" w:rsidRPr="00DC77E6" w:rsidRDefault="009B3CF7" w:rsidP="00AC1CDF">
            <w:pPr>
              <w:autoSpaceDE w:val="0"/>
              <w:autoSpaceDN w:val="0"/>
              <w:adjustRightInd w:val="0"/>
              <w:snapToGrid w:val="0"/>
              <w:spacing w:afterLines="50"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1. UE performs RLM/BM/BFD and gapless </w:t>
            </w:r>
            <w:r w:rsidRPr="00DC77E6">
              <w:rPr>
                <w:rFonts w:eastAsiaTheme="minorEastAsia" w:cs="Arial"/>
                <w:bCs/>
                <w:color w:val="000000" w:themeColor="text1"/>
                <w:sz w:val="18"/>
                <w:szCs w:val="18"/>
              </w:rPr>
              <w:t>L3 intra-frequency</w:t>
            </w:r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measurements based on NCD-SSB, where the NCD-SSB is within the active DL BWP.</w:t>
            </w:r>
          </w:p>
          <w:p w14:paraId="5C489ED9" w14:textId="77777777" w:rsidR="009B3CF7" w:rsidRPr="00DC77E6" w:rsidRDefault="009B3CF7" w:rsidP="00AC1CDF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  <w:p w14:paraId="6902C26C" w14:textId="10608FC1" w:rsidR="009B3CF7" w:rsidRPr="00DC77E6" w:rsidRDefault="009B3CF7" w:rsidP="00AC1CDF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DC77E6">
              <w:rPr>
                <w:rFonts w:eastAsiaTheme="minorEastAsia" w:cs="Arial"/>
                <w:color w:val="000000" w:themeColor="text1"/>
                <w:sz w:val="18"/>
                <w:szCs w:val="18"/>
              </w:rPr>
              <w:t>3. NCD-SSB within the active DL BWP can be used as the QCL source for other reference signal</w:t>
            </w:r>
          </w:p>
          <w:p w14:paraId="29E9900A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en-US"/>
              </w:rPr>
              <w:t>4. UE performs L3 intra-frequency measurements without gaps based on NCD-SSB, where the NCD-SSB is within the active DL BWP.</w:t>
            </w:r>
          </w:p>
        </w:tc>
        <w:tc>
          <w:tcPr>
            <w:tcW w:w="0" w:type="auto"/>
            <w:shd w:val="clear" w:color="auto" w:fill="auto"/>
          </w:tcPr>
          <w:p w14:paraId="00478B34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53B40CE0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D5ED60D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A468F6E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cannot support RLM/BM/BFD </w:t>
            </w: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and gapless </w:t>
            </w:r>
            <w:r w:rsidRPr="00DC77E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n-US"/>
              </w:rPr>
              <w:t xml:space="preserve">L3 intra-frequency </w:t>
            </w: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measurements based on NCD-SSB within active BWP</w:t>
            </w:r>
            <w:r w:rsidRPr="00DC77E6" w:rsidDel="00A93B7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FF95F93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1CD48AE8" w14:textId="77777777" w:rsidR="009B3CF7" w:rsidRPr="00DC77E6" w:rsidRDefault="009B3CF7" w:rsidP="00AC1CD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DC77E6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20E1AD8A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CCB5703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FD5B354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44D81EB" w14:textId="7151E2C9" w:rsidR="009B3CF7" w:rsidRPr="00EA4B29" w:rsidRDefault="009B3CF7" w:rsidP="00AC1CDF">
            <w:pPr>
              <w:pStyle w:val="maintext"/>
              <w:ind w:firstLineChars="0" w:firstLine="0"/>
              <w:jc w:val="left"/>
              <w:rPr>
                <w:rFonts w:ascii="Arial" w:eastAsia="PMingLiU" w:hAnsi="Arial" w:cs="Arial"/>
                <w:color w:val="FF0000"/>
                <w:sz w:val="18"/>
                <w:szCs w:val="18"/>
                <w:lang w:val="en-US" w:eastAsia="zh-TW"/>
              </w:rPr>
            </w:pPr>
            <w:r w:rsidRPr="00033F45">
              <w:rPr>
                <w:rFonts w:ascii="Arial" w:eastAsia="PMingLiU" w:hAnsi="Arial" w:cs="Arial"/>
                <w:color w:val="FF0000"/>
                <w:sz w:val="18"/>
                <w:szCs w:val="18"/>
                <w:lang w:val="en-US" w:eastAsia="zh-TW"/>
              </w:rPr>
              <w:t xml:space="preserve">Note: </w:t>
            </w:r>
            <w:r w:rsidR="001001CF">
              <w:rPr>
                <w:rFonts w:ascii="Arial" w:eastAsia="PMingLiU" w:hAnsi="Arial" w:cs="Arial"/>
                <w:color w:val="FF0000"/>
                <w:sz w:val="18"/>
                <w:szCs w:val="18"/>
                <w:lang w:val="en-US" w:eastAsia="zh-TW"/>
              </w:rPr>
              <w:t xml:space="preserve">This FG applies only to </w:t>
            </w:r>
            <w:proofErr w:type="spellStart"/>
            <w:r w:rsidR="001001CF">
              <w:rPr>
                <w:rFonts w:ascii="Arial" w:eastAsia="PMingLiU" w:hAnsi="Arial" w:cs="Arial"/>
                <w:color w:val="FF0000"/>
                <w:sz w:val="18"/>
                <w:szCs w:val="18"/>
                <w:lang w:val="en-US" w:eastAsia="zh-TW"/>
              </w:rPr>
              <w:t>PCell</w:t>
            </w:r>
            <w:proofErr w:type="spellEnd"/>
          </w:p>
          <w:p w14:paraId="5C7DFD7E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</w:pPr>
          </w:p>
          <w:p w14:paraId="6872C4FB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DC77E6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>RedCap</w:t>
            </w:r>
            <w:proofErr w:type="spellEnd"/>
            <w:r w:rsidRPr="00DC77E6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 </w:t>
            </w:r>
            <w:r w:rsidRPr="00DC77E6">
              <w:rPr>
                <w:rFonts w:ascii="Arial" w:hAnsi="Arial" w:cs="Arial"/>
                <w:color w:val="FF0000"/>
                <w:sz w:val="18"/>
                <w:szCs w:val="18"/>
              </w:rPr>
              <w:t xml:space="preserve">or </w:t>
            </w:r>
            <w:proofErr w:type="spellStart"/>
            <w:r w:rsidRPr="00DC77E6">
              <w:rPr>
                <w:rFonts w:ascii="Arial" w:hAnsi="Arial" w:cs="Arial"/>
                <w:color w:val="FF0000"/>
                <w:sz w:val="18"/>
                <w:szCs w:val="18"/>
              </w:rPr>
              <w:t>eRedCap</w:t>
            </w:r>
            <w:proofErr w:type="spellEnd"/>
            <w:r w:rsidRPr="00DC77E6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val="en-US" w:eastAsia="zh-TW"/>
              </w:rPr>
              <w:t xml:space="preserve"> UEs.</w:t>
            </w:r>
          </w:p>
        </w:tc>
        <w:tc>
          <w:tcPr>
            <w:tcW w:w="0" w:type="auto"/>
            <w:shd w:val="clear" w:color="auto" w:fill="auto"/>
          </w:tcPr>
          <w:p w14:paraId="15FBB4D7" w14:textId="77777777" w:rsidR="009B3CF7" w:rsidRPr="00DC77E6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C77E6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5B3237BA" w14:textId="77777777" w:rsidR="009B3CF7" w:rsidRDefault="009B3CF7" w:rsidP="00B9024D">
      <w:pPr>
        <w:rPr>
          <w:lang w:eastAsia="x-none"/>
        </w:rPr>
      </w:pPr>
    </w:p>
    <w:p w14:paraId="4095BCF2" w14:textId="34C99772" w:rsidR="009B3CF7" w:rsidRDefault="00EF79A5" w:rsidP="009B3CF7">
      <w:pPr>
        <w:rPr>
          <w:rFonts w:ascii="Calibri" w:hAnsi="Calibri" w:cs="Arial"/>
          <w:b/>
        </w:rPr>
      </w:pPr>
      <w:r w:rsidRPr="00EF79A5">
        <w:rPr>
          <w:rFonts w:ascii="Calibri" w:hAnsi="Calibri" w:cs="Arial"/>
          <w:b/>
          <w:highlight w:val="green"/>
        </w:rPr>
        <w:t>Agreement</w:t>
      </w:r>
      <w:r w:rsidR="009B3CF7" w:rsidRPr="00EF79A5">
        <w:rPr>
          <w:rFonts w:ascii="Calibri" w:hAnsi="Calibri" w:cs="Arial"/>
          <w:b/>
          <w:highlight w:val="green"/>
        </w:rPr>
        <w:t>:</w:t>
      </w:r>
      <w:r w:rsidR="009B3CF7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498"/>
        <w:gridCol w:w="2738"/>
        <w:gridCol w:w="5561"/>
        <w:gridCol w:w="664"/>
        <w:gridCol w:w="527"/>
        <w:gridCol w:w="467"/>
        <w:gridCol w:w="2920"/>
        <w:gridCol w:w="687"/>
        <w:gridCol w:w="447"/>
        <w:gridCol w:w="447"/>
        <w:gridCol w:w="467"/>
        <w:gridCol w:w="4151"/>
        <w:gridCol w:w="1367"/>
      </w:tblGrid>
      <w:tr w:rsidR="009B3CF7" w14:paraId="5A671063" w14:textId="77777777" w:rsidTr="00AC1CDF">
        <w:tc>
          <w:tcPr>
            <w:tcW w:w="0" w:type="auto"/>
            <w:shd w:val="clear" w:color="auto" w:fill="auto"/>
          </w:tcPr>
          <w:p w14:paraId="73C6F965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53. </w:t>
            </w:r>
            <w:proofErr w:type="spellStart"/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35A9B1E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53-4</w:t>
            </w:r>
          </w:p>
        </w:tc>
        <w:tc>
          <w:tcPr>
            <w:tcW w:w="0" w:type="auto"/>
            <w:shd w:val="clear" w:color="auto" w:fill="auto"/>
          </w:tcPr>
          <w:p w14:paraId="35FD984E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RLM/BM/BFD measurements based on CSI-RS when CD-SSB is outside active BWP</w:t>
            </w:r>
          </w:p>
        </w:tc>
        <w:tc>
          <w:tcPr>
            <w:tcW w:w="0" w:type="auto"/>
            <w:shd w:val="clear" w:color="auto" w:fill="auto"/>
          </w:tcPr>
          <w:p w14:paraId="5CC8A9F9" w14:textId="77777777" w:rsidR="009B3CF7" w:rsidRPr="00413712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13712">
              <w:rPr>
                <w:rFonts w:cs="Arial"/>
                <w:color w:val="000000" w:themeColor="text1"/>
                <w:szCs w:val="18"/>
              </w:rPr>
              <w:t>1. UE performs RLM/BM/BFD measurements based on CSI-RS, when CD-SSB is outside active DL BWP.</w:t>
            </w:r>
          </w:p>
          <w:p w14:paraId="048BA087" w14:textId="04FA5417" w:rsidR="009B3CF7" w:rsidRPr="00EF79A5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B99FCFB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1-7, 2-24, 2-31</w:t>
            </w:r>
          </w:p>
        </w:tc>
        <w:tc>
          <w:tcPr>
            <w:tcW w:w="0" w:type="auto"/>
            <w:shd w:val="clear" w:color="auto" w:fill="auto"/>
          </w:tcPr>
          <w:p w14:paraId="5D8B3440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06059E2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B651CC0" w14:textId="77777777" w:rsidR="009B3CF7" w:rsidRPr="00413712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371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UE cannot </w:t>
            </w:r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RLM/BM/BFD measurements based on CSI-RS when CD-SSB is outside active </w:t>
            </w:r>
            <w:proofErr w:type="gramStart"/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>BWP</w:t>
            </w:r>
            <w:proofErr w:type="gramEnd"/>
          </w:p>
          <w:p w14:paraId="010CCFF0" w14:textId="77777777" w:rsidR="009B3CF7" w:rsidRPr="00413712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391EA06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FCBDF17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B3A64C5" w14:textId="77777777" w:rsidR="009B3CF7" w:rsidRPr="00413712" w:rsidRDefault="009B3CF7" w:rsidP="00AC1CD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13712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0A38DDAB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29CA597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E895BBD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69118E2" w14:textId="77777777" w:rsidR="009B3CF7" w:rsidRPr="00413712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13712">
              <w:rPr>
                <w:rFonts w:cs="Arial"/>
                <w:color w:val="000000" w:themeColor="text1"/>
                <w:szCs w:val="18"/>
              </w:rPr>
              <w:t>Note: The CD-SSB is still within the bandwidth of the carrier configured by SCS-</w:t>
            </w:r>
            <w:proofErr w:type="spellStart"/>
            <w:r w:rsidRPr="00413712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413712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413712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413712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413712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413712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413712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47746AEC" w14:textId="77777777" w:rsidR="009B3CF7" w:rsidRPr="00413712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836AAE3" w14:textId="77777777" w:rsidR="009B3CF7" w:rsidRPr="00413712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13712">
              <w:rPr>
                <w:rFonts w:cs="Arial"/>
                <w:color w:val="000000" w:themeColor="text1"/>
                <w:szCs w:val="18"/>
              </w:rPr>
              <w:t xml:space="preserve">This FG is not applicable to </w:t>
            </w:r>
            <w:proofErr w:type="spellStart"/>
            <w:r w:rsidRPr="00413712">
              <w:rPr>
                <w:rFonts w:cs="Arial"/>
                <w:color w:val="000000" w:themeColor="text1"/>
                <w:szCs w:val="18"/>
              </w:rPr>
              <w:t>RedCap</w:t>
            </w:r>
            <w:proofErr w:type="spellEnd"/>
            <w:r>
              <w:rPr>
                <w:rFonts w:cs="Arial"/>
                <w:color w:val="000000" w:themeColor="text1"/>
                <w:szCs w:val="18"/>
              </w:rPr>
              <w:t xml:space="preserve"> </w:t>
            </w:r>
            <w:r>
              <w:rPr>
                <w:rFonts w:cs="Arial"/>
                <w:color w:val="FF0000"/>
                <w:szCs w:val="18"/>
              </w:rPr>
              <w:t xml:space="preserve">or </w:t>
            </w:r>
            <w:proofErr w:type="spellStart"/>
            <w:r>
              <w:rPr>
                <w:rFonts w:cs="Arial"/>
                <w:color w:val="FF0000"/>
                <w:szCs w:val="18"/>
              </w:rPr>
              <w:t>eRedCap</w:t>
            </w:r>
            <w:proofErr w:type="spellEnd"/>
            <w:r w:rsidRPr="00413712">
              <w:rPr>
                <w:rFonts w:cs="Arial"/>
                <w:color w:val="000000" w:themeColor="text1"/>
                <w:szCs w:val="18"/>
              </w:rPr>
              <w:t xml:space="preserve"> UEs.</w:t>
            </w:r>
          </w:p>
          <w:p w14:paraId="4446A76C" w14:textId="77777777" w:rsidR="009B3CF7" w:rsidRPr="00413712" w:rsidRDefault="009B3CF7" w:rsidP="00AC1CD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591B5B8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</w:rPr>
              <w:t>UEs indicating the support of this feature group shall not indicate the support of FG 6-1a.</w:t>
            </w:r>
          </w:p>
        </w:tc>
        <w:tc>
          <w:tcPr>
            <w:tcW w:w="0" w:type="auto"/>
            <w:shd w:val="clear" w:color="auto" w:fill="auto"/>
          </w:tcPr>
          <w:p w14:paraId="21F54BBB" w14:textId="77777777" w:rsidR="009B3CF7" w:rsidRDefault="009B3CF7" w:rsidP="00AC1CD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413712"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signalling</w:t>
            </w:r>
          </w:p>
        </w:tc>
      </w:tr>
    </w:tbl>
    <w:p w14:paraId="3B90E45E" w14:textId="77777777" w:rsidR="009B3CF7" w:rsidRDefault="009B3CF7" w:rsidP="00B9024D">
      <w:pPr>
        <w:rPr>
          <w:lang w:eastAsia="x-none"/>
        </w:rPr>
      </w:pPr>
    </w:p>
    <w:p w14:paraId="7C452279" w14:textId="77777777" w:rsidR="00D9549C" w:rsidRDefault="00D9549C" w:rsidP="00B9024D">
      <w:pPr>
        <w:rPr>
          <w:lang w:eastAsia="x-none"/>
        </w:rPr>
      </w:pPr>
    </w:p>
    <w:p w14:paraId="4464B5C6" w14:textId="77777777" w:rsidR="00553780" w:rsidRDefault="00553780" w:rsidP="00553780">
      <w:pPr>
        <w:rPr>
          <w:lang w:eastAsia="x-none"/>
        </w:rPr>
      </w:pPr>
      <w:r>
        <w:rPr>
          <w:lang w:eastAsia="x-none"/>
        </w:rPr>
        <w:t>R1-2310903</w:t>
      </w:r>
      <w:r>
        <w:rPr>
          <w:lang w:eastAsia="x-none"/>
        </w:rPr>
        <w:tab/>
        <w:t>On UE features for BWP without restriction</w:t>
      </w:r>
      <w:r>
        <w:rPr>
          <w:lang w:eastAsia="x-none"/>
        </w:rPr>
        <w:tab/>
        <w:t>Nokia, Nokia Shanghai Bell</w:t>
      </w:r>
    </w:p>
    <w:p w14:paraId="669E3D67" w14:textId="77777777" w:rsidR="00553780" w:rsidRDefault="00553780" w:rsidP="00553780">
      <w:pPr>
        <w:rPr>
          <w:lang w:eastAsia="x-none"/>
        </w:rPr>
      </w:pPr>
      <w:r>
        <w:rPr>
          <w:lang w:eastAsia="x-none"/>
        </w:rPr>
        <w:t>R1-2310974</w:t>
      </w:r>
      <w:r>
        <w:rPr>
          <w:lang w:eastAsia="x-none"/>
        </w:rPr>
        <w:tab/>
        <w:t>UE features for BWP without restriction</w:t>
      </w:r>
      <w:r>
        <w:rPr>
          <w:lang w:eastAsia="x-none"/>
        </w:rPr>
        <w:tab/>
        <w:t>Ericsson</w:t>
      </w:r>
    </w:p>
    <w:p w14:paraId="5FA680DE" w14:textId="77777777" w:rsidR="00553780" w:rsidRDefault="00553780" w:rsidP="00553780">
      <w:pPr>
        <w:rPr>
          <w:lang w:eastAsia="x-none"/>
        </w:rPr>
      </w:pPr>
      <w:r>
        <w:rPr>
          <w:lang w:eastAsia="x-none"/>
        </w:rPr>
        <w:t>R1-2311653</w:t>
      </w:r>
      <w:r>
        <w:rPr>
          <w:lang w:eastAsia="x-none"/>
        </w:rPr>
        <w:tab/>
        <w:t>Discussion on UE features for BWP without restriction</w:t>
      </w:r>
      <w:r>
        <w:rPr>
          <w:lang w:eastAsia="x-none"/>
        </w:rPr>
        <w:tab/>
        <w:t>NTT DOCOMO, INC.</w:t>
      </w:r>
    </w:p>
    <w:p w14:paraId="11AAA66F" w14:textId="77777777" w:rsidR="00553780" w:rsidRDefault="00553780" w:rsidP="00553780">
      <w:pPr>
        <w:rPr>
          <w:lang w:eastAsia="x-none"/>
        </w:rPr>
      </w:pPr>
      <w:r>
        <w:rPr>
          <w:lang w:eastAsia="x-none"/>
        </w:rPr>
        <w:t>R1-2311781</w:t>
      </w:r>
      <w:r>
        <w:rPr>
          <w:lang w:eastAsia="x-none"/>
        </w:rPr>
        <w:tab/>
        <w:t>Remaining clarifications on BWP Without Restriction</w:t>
      </w:r>
      <w:r>
        <w:rPr>
          <w:lang w:eastAsia="x-none"/>
        </w:rPr>
        <w:tab/>
        <w:t>Vodafone, vivo, Nokia, Nokia Shanghai Bell</w:t>
      </w:r>
    </w:p>
    <w:p w14:paraId="5ABFA55F" w14:textId="77777777" w:rsidR="00553780" w:rsidRDefault="00553780" w:rsidP="00553780">
      <w:pPr>
        <w:rPr>
          <w:lang w:eastAsia="x-none"/>
        </w:rPr>
      </w:pPr>
      <w:r>
        <w:rPr>
          <w:lang w:eastAsia="x-none"/>
        </w:rPr>
        <w:t>R1-2311880</w:t>
      </w:r>
      <w:r>
        <w:rPr>
          <w:lang w:eastAsia="x-none"/>
        </w:rPr>
        <w:tab/>
        <w:t>UE features for BWP without restriction</w:t>
      </w:r>
      <w:r>
        <w:rPr>
          <w:lang w:eastAsia="x-none"/>
        </w:rPr>
        <w:tab/>
        <w:t>Samsung</w:t>
      </w:r>
    </w:p>
    <w:p w14:paraId="05381E6F" w14:textId="77777777" w:rsidR="00553780" w:rsidRDefault="00553780" w:rsidP="00553780">
      <w:pPr>
        <w:rPr>
          <w:lang w:eastAsia="x-none"/>
        </w:rPr>
      </w:pPr>
      <w:r>
        <w:rPr>
          <w:lang w:eastAsia="x-none"/>
        </w:rPr>
        <w:t>R1-2312003</w:t>
      </w:r>
      <w:r>
        <w:rPr>
          <w:lang w:eastAsia="x-none"/>
        </w:rPr>
        <w:tab/>
        <w:t>UE features for BWP without restriction</w:t>
      </w:r>
      <w:r>
        <w:rPr>
          <w:lang w:eastAsia="x-none"/>
        </w:rPr>
        <w:tab/>
        <w:t>MediaTek Inc.</w:t>
      </w:r>
    </w:p>
    <w:p w14:paraId="54F43189" w14:textId="77777777" w:rsidR="00553780" w:rsidRPr="000E51FC" w:rsidRDefault="00553780" w:rsidP="00553780">
      <w:pPr>
        <w:rPr>
          <w:lang w:eastAsia="x-none"/>
        </w:rPr>
      </w:pPr>
      <w:r>
        <w:rPr>
          <w:lang w:eastAsia="x-none"/>
        </w:rPr>
        <w:t>R1-2312086</w:t>
      </w:r>
      <w:r>
        <w:rPr>
          <w:lang w:eastAsia="x-none"/>
        </w:rPr>
        <w:tab/>
        <w:t>Summary of UE features for BWP without restriction</w:t>
      </w:r>
      <w:r>
        <w:rPr>
          <w:lang w:eastAsia="x-none"/>
        </w:rPr>
        <w:tab/>
        <w:t>Moderator (AT&amp;T)</w:t>
      </w:r>
    </w:p>
    <w:p w14:paraId="685DA5F4" w14:textId="77777777" w:rsidR="005A35BC" w:rsidRPr="00B9024D" w:rsidRDefault="005A35BC" w:rsidP="00B9024D">
      <w:pPr>
        <w:rPr>
          <w:lang w:eastAsia="x-none"/>
        </w:rPr>
      </w:pPr>
    </w:p>
    <w:sectPr w:rsidR="005A35BC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41710" w14:textId="77777777" w:rsidR="00F9543E" w:rsidRDefault="00F9543E" w:rsidP="00424124">
      <w:pPr>
        <w:spacing w:before="0" w:after="0"/>
      </w:pPr>
      <w:r>
        <w:separator/>
      </w:r>
    </w:p>
  </w:endnote>
  <w:endnote w:type="continuationSeparator" w:id="0">
    <w:p w14:paraId="7075258D" w14:textId="77777777" w:rsidR="00F9543E" w:rsidRDefault="00F9543E" w:rsidP="00424124">
      <w:pPr>
        <w:spacing w:before="0" w:after="0"/>
      </w:pPr>
      <w:r>
        <w:continuationSeparator/>
      </w:r>
    </w:p>
  </w:endnote>
  <w:endnote w:type="continuationNotice" w:id="1">
    <w:p w14:paraId="6AC8505D" w14:textId="77777777" w:rsidR="00F9543E" w:rsidRDefault="00F9543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8E10A" w14:textId="77777777" w:rsidR="00F9543E" w:rsidRDefault="00F9543E" w:rsidP="00424124">
      <w:pPr>
        <w:spacing w:before="0" w:after="0"/>
      </w:pPr>
      <w:r>
        <w:separator/>
      </w:r>
    </w:p>
  </w:footnote>
  <w:footnote w:type="continuationSeparator" w:id="0">
    <w:p w14:paraId="60E23701" w14:textId="77777777" w:rsidR="00F9543E" w:rsidRDefault="00F9543E" w:rsidP="00424124">
      <w:pPr>
        <w:spacing w:before="0" w:after="0"/>
      </w:pPr>
      <w:r>
        <w:continuationSeparator/>
      </w:r>
    </w:p>
  </w:footnote>
  <w:footnote w:type="continuationNotice" w:id="1">
    <w:p w14:paraId="7A36A95C" w14:textId="77777777" w:rsidR="00F9543E" w:rsidRDefault="00F9543E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4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6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8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1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67722107">
    <w:abstractNumId w:val="33"/>
  </w:num>
  <w:num w:numId="2" w16cid:durableId="1931503730">
    <w:abstractNumId w:val="12"/>
  </w:num>
  <w:num w:numId="3" w16cid:durableId="1576545307">
    <w:abstractNumId w:val="55"/>
  </w:num>
  <w:num w:numId="4" w16cid:durableId="1086997101">
    <w:abstractNumId w:val="21"/>
  </w:num>
  <w:num w:numId="5" w16cid:durableId="1160393160">
    <w:abstractNumId w:val="27"/>
  </w:num>
  <w:num w:numId="6" w16cid:durableId="53823924">
    <w:abstractNumId w:val="36"/>
  </w:num>
  <w:num w:numId="7" w16cid:durableId="687103955">
    <w:abstractNumId w:val="45"/>
  </w:num>
  <w:num w:numId="8" w16cid:durableId="1920553953">
    <w:abstractNumId w:val="60"/>
  </w:num>
  <w:num w:numId="9" w16cid:durableId="1642031821">
    <w:abstractNumId w:val="57"/>
  </w:num>
  <w:num w:numId="10" w16cid:durableId="71120909">
    <w:abstractNumId w:val="54"/>
  </w:num>
  <w:num w:numId="11" w16cid:durableId="744841997">
    <w:abstractNumId w:val="34"/>
  </w:num>
  <w:num w:numId="12" w16cid:durableId="200410811">
    <w:abstractNumId w:val="4"/>
  </w:num>
  <w:num w:numId="13" w16cid:durableId="1003360604">
    <w:abstractNumId w:val="25"/>
  </w:num>
  <w:num w:numId="14" w16cid:durableId="1025400344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6"/>
  </w:num>
  <w:num w:numId="19" w16cid:durableId="347223902">
    <w:abstractNumId w:val="29"/>
  </w:num>
  <w:num w:numId="20" w16cid:durableId="552426212">
    <w:abstractNumId w:val="40"/>
  </w:num>
  <w:num w:numId="21" w16cid:durableId="41903243">
    <w:abstractNumId w:val="8"/>
  </w:num>
  <w:num w:numId="22" w16cid:durableId="1291743069">
    <w:abstractNumId w:val="31"/>
  </w:num>
  <w:num w:numId="23" w16cid:durableId="421875290">
    <w:abstractNumId w:val="13"/>
  </w:num>
  <w:num w:numId="24" w16cid:durableId="228007593">
    <w:abstractNumId w:val="0"/>
  </w:num>
  <w:num w:numId="25" w16cid:durableId="1292831407">
    <w:abstractNumId w:val="50"/>
  </w:num>
  <w:num w:numId="26" w16cid:durableId="2144273913">
    <w:abstractNumId w:val="18"/>
  </w:num>
  <w:num w:numId="27" w16cid:durableId="882835948">
    <w:abstractNumId w:val="42"/>
  </w:num>
  <w:num w:numId="28" w16cid:durableId="629437599">
    <w:abstractNumId w:val="44"/>
  </w:num>
  <w:num w:numId="29" w16cid:durableId="1228028935">
    <w:abstractNumId w:val="51"/>
  </w:num>
  <w:num w:numId="30" w16cid:durableId="903681775">
    <w:abstractNumId w:val="37"/>
  </w:num>
  <w:num w:numId="31" w16cid:durableId="50469917">
    <w:abstractNumId w:val="49"/>
  </w:num>
  <w:num w:numId="32" w16cid:durableId="230890480">
    <w:abstractNumId w:val="19"/>
  </w:num>
  <w:num w:numId="33" w16cid:durableId="1108354671">
    <w:abstractNumId w:val="46"/>
  </w:num>
  <w:num w:numId="34" w16cid:durableId="913785018">
    <w:abstractNumId w:val="17"/>
  </w:num>
  <w:num w:numId="35" w16cid:durableId="612244940">
    <w:abstractNumId w:val="30"/>
  </w:num>
  <w:num w:numId="36" w16cid:durableId="1085490675">
    <w:abstractNumId w:val="3"/>
  </w:num>
  <w:num w:numId="37" w16cid:durableId="930888782">
    <w:abstractNumId w:val="59"/>
  </w:num>
  <w:num w:numId="38" w16cid:durableId="1401715385">
    <w:abstractNumId w:val="10"/>
  </w:num>
  <w:num w:numId="39" w16cid:durableId="1014385615">
    <w:abstractNumId w:val="35"/>
  </w:num>
  <w:num w:numId="40" w16cid:durableId="276528962">
    <w:abstractNumId w:val="9"/>
  </w:num>
  <w:num w:numId="41" w16cid:durableId="1584799304">
    <w:abstractNumId w:val="47"/>
  </w:num>
  <w:num w:numId="42" w16cid:durableId="581449178">
    <w:abstractNumId w:val="11"/>
  </w:num>
  <w:num w:numId="43" w16cid:durableId="1219634161">
    <w:abstractNumId w:val="24"/>
  </w:num>
  <w:num w:numId="44" w16cid:durableId="2018530873">
    <w:abstractNumId w:val="23"/>
  </w:num>
  <w:num w:numId="45" w16cid:durableId="448013903">
    <w:abstractNumId w:val="38"/>
  </w:num>
  <w:num w:numId="46" w16cid:durableId="3404337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4"/>
  </w:num>
  <w:num w:numId="49" w16cid:durableId="1148089423">
    <w:abstractNumId w:val="1"/>
  </w:num>
  <w:num w:numId="50" w16cid:durableId="1207109125">
    <w:abstractNumId w:val="55"/>
  </w:num>
  <w:num w:numId="51" w16cid:durableId="2004121819">
    <w:abstractNumId w:val="39"/>
  </w:num>
  <w:num w:numId="52" w16cid:durableId="540633948">
    <w:abstractNumId w:val="48"/>
  </w:num>
  <w:num w:numId="53" w16cid:durableId="2064713474">
    <w:abstractNumId w:val="56"/>
  </w:num>
  <w:num w:numId="54" w16cid:durableId="2017924844">
    <w:abstractNumId w:val="52"/>
  </w:num>
  <w:num w:numId="55" w16cid:durableId="470907883">
    <w:abstractNumId w:val="2"/>
  </w:num>
  <w:num w:numId="56" w16cid:durableId="149101380">
    <w:abstractNumId w:val="58"/>
  </w:num>
  <w:num w:numId="57" w16cid:durableId="1577352064">
    <w:abstractNumId w:val="20"/>
  </w:num>
  <w:num w:numId="58" w16cid:durableId="1707876415">
    <w:abstractNumId w:val="26"/>
  </w:num>
  <w:num w:numId="59" w16cid:durableId="2007781910">
    <w:abstractNumId w:val="22"/>
  </w:num>
  <w:num w:numId="60" w16cid:durableId="1858349917">
    <w:abstractNumId w:val="41"/>
  </w:num>
  <w:num w:numId="61" w16cid:durableId="818570405">
    <w:abstractNumId w:val="32"/>
  </w:num>
  <w:num w:numId="62" w16cid:durableId="549656349">
    <w:abstractNumId w:val="61"/>
  </w:num>
  <w:num w:numId="63" w16cid:durableId="650864027">
    <w:abstractNumId w:val="5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BC6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52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1CF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5B6C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9F0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38E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823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780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BC9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53B0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0F68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0EBF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36FE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8AD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3CF7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2F3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4FE7"/>
    <w:rsid w:val="00BC5F0F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0D7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6A34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5B0A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3F0F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EF79A5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3E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tabs>
        <w:tab w:val="clear" w:pos="360"/>
        <w:tab w:val="left" w:pos="936"/>
      </w:tabs>
      <w:autoSpaceDE w:val="0"/>
      <w:autoSpaceDN w:val="0"/>
      <w:snapToGrid w:val="0"/>
      <w:spacing w:before="0" w:after="60"/>
      <w:ind w:left="936" w:hanging="936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110</cp:revision>
  <cp:lastPrinted>2020-04-13T00:57:00Z</cp:lastPrinted>
  <dcterms:created xsi:type="dcterms:W3CDTF">2022-08-15T17:33:00Z</dcterms:created>
  <dcterms:modified xsi:type="dcterms:W3CDTF">2023-11-17T18:16:00Z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